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36"/>
        </w:rPr>
        <w:t>Executive Steering Minutes</w:t>
      </w:r>
    </w:p>
    <w:p>
      <w:r>
        <w:rPr>
          <w:rFonts w:ascii="Arial" w:hAnsi="Arial"/>
          <w:color w:val="5A5A5A"/>
          <w:sz w:val="18"/>
        </w:rPr>
        <w:t>Infrastructure readiness review - 14 May 2026 - Draft for committee pack</w:t>
      </w:r>
    </w:p>
    <w:p>
      <w:r>
        <w:rPr>
          <w:rFonts w:ascii="Arial" w:hAnsi="Arial"/>
          <w:b/>
          <w:sz w:val="24"/>
        </w:rPr>
        <w:t>Context</w:t>
      </w:r>
    </w:p>
    <w:p>
      <w:r>
        <w:rPr>
          <w:rFonts w:ascii="Arial" w:hAnsi="Arial"/>
          <w:sz w:val="18"/>
        </w:rPr>
        <w:t>The Operations, Security and Product leads reviewed readiness items for the next release. The notes below are the source of record for the committee summary.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6624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Decisions</w:t>
            </w:r>
          </w:p>
        </w:tc>
        <w:tc>
          <w:tcPr>
            <w:tcW w:type="dxa" w:w="1728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Owner</w:t>
            </w:r>
          </w:p>
        </w:tc>
        <w:tc>
          <w:tcPr>
            <w:tcW w:type="dxa" w:w="2160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Target</w:t>
            </w:r>
          </w:p>
        </w:tc>
      </w:tr>
      <w:tr>
        <w:tc>
          <w:tcPr>
            <w:tcW w:type="dxa" w:w="66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Migrate monitoring dashboards to the new incident console.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Operations</w:t>
            </w:r>
          </w:p>
        </w:tc>
        <w:tc>
          <w:tcPr>
            <w:tcW w:type="dxa" w:w="216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Before release freeze</w:t>
            </w:r>
          </w:p>
        </w:tc>
      </w:tr>
      <w:tr>
        <w:tc>
          <w:tcPr>
            <w:tcW w:type="dxa" w:w="66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Review vendor access before the next release.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Security</w:t>
            </w:r>
          </w:p>
        </w:tc>
        <w:tc>
          <w:tcPr>
            <w:tcW w:type="dxa" w:w="216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Before release candidate</w:t>
            </w:r>
          </w:p>
        </w:tc>
      </w:tr>
      <w:tr>
        <w:tc>
          <w:tcPr>
            <w:tcW w:type="dxa" w:w="66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Update the escalation matrix for weekend incidents.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Operations</w:t>
            </w:r>
          </w:p>
        </w:tc>
        <w:tc>
          <w:tcPr>
            <w:tcW w:type="dxa" w:w="216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End of week</w:t>
            </w:r>
          </w:p>
        </w:tc>
      </w:tr>
    </w:tbl>
    <w:p/>
    <w:p>
      <w:r>
        <w:rPr>
          <w:rFonts w:ascii="Arial" w:hAnsi="Arial"/>
          <w:b/>
          <w:sz w:val="24"/>
        </w:rPr>
        <w:t>Actions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2016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Team</w:t>
            </w:r>
          </w:p>
        </w:tc>
        <w:tc>
          <w:tcPr>
            <w:tcW w:type="dxa" w:w="8496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Action item</w:t>
            </w:r>
          </w:p>
        </w:tc>
      </w:tr>
      <w:t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Security</w:t>
            </w:r>
          </w:p>
        </w:tc>
        <w:tc>
          <w:tcPr>
            <w:tcW w:type="dxa" w:w="849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Prepare the vendor access review and list exceptions.</w:t>
            </w:r>
          </w:p>
        </w:tc>
      </w:tr>
      <w:t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Product</w:t>
            </w:r>
          </w:p>
        </w:tc>
        <w:tc>
          <w:tcPr>
            <w:tcW w:type="dxa" w:w="849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Confirm launch-readiness date with release management.</w:t>
            </w:r>
          </w:p>
        </w:tc>
      </w:tr>
      <w:t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Operations</w:t>
            </w:r>
          </w:p>
        </w:tc>
        <w:tc>
          <w:tcPr>
            <w:tcW w:type="dxa" w:w="849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Update on-call rotations and escalation contacts.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F8F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05050"/>
                <w:sz w:val="16"/>
              </w:rPr>
              <w:t>Document control: verify dates and owners against the source minutes before publication.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787878"/>
        <w:sz w:val="14"/>
      </w:rPr>
      <w:t>Document pack ID: INFRA-STEER-2026-05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Steering Minutes - Infrastructure Readiness</dc:title>
  <dc:subject>Steering committee prep; monitoring migration; vendor access review; escalation matrix</dc:subject>
  <dc:creator>Operations PMO</dc:creator>
  <cp:keywords/>
  <dc:description>Clean control artifact. No localization override.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